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SimSun" w:hAnsi="SimSun" w:cs="SimSun" w:eastAsia="SimSun"/>
          <w:b/>
          <w:color w:val="auto"/>
          <w:spacing w:val="0"/>
          <w:position w:val="0"/>
          <w:sz w:val="28"/>
          <w:shd w:fill="auto" w:val="clear"/>
        </w:rPr>
      </w:pPr>
      <w:r>
        <w:rPr>
          <w:rFonts w:ascii="SimSun" w:hAnsi="SimSun" w:cs="SimSun" w:eastAsia="SimSun"/>
          <w:b/>
          <w:color w:val="auto"/>
          <w:spacing w:val="0"/>
          <w:position w:val="0"/>
          <w:sz w:val="28"/>
          <w:shd w:fill="auto" w:val="clear"/>
        </w:rPr>
        <w:t xml:space="preserve">从游戏产业报告看2024中国游戏行业发展的十大趋势</w:t>
      </w:r>
    </w:p>
    <w:p>
      <w:pPr>
        <w:spacing w:before="0" w:after="200" w:line="276"/>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2023</w:t>
      </w:r>
      <w:r>
        <w:rPr>
          <w:rFonts w:ascii="SimSun" w:hAnsi="SimSun" w:cs="SimSun" w:eastAsia="SimSun"/>
          <w:color w:val="auto"/>
          <w:spacing w:val="0"/>
          <w:position w:val="0"/>
          <w:sz w:val="22"/>
          <w:shd w:fill="auto" w:val="clear"/>
        </w:rPr>
        <w:t xml:space="preserve">年中国游戏国内市场收入首次突破3000亿元，实际销售收入达到了3029.64亿元，同比增长了13.95%，这一波回暖的背后，主要得益于集中上线的高品质新游的推动。就像《崩坏：星穹铁道》和《逆水寒》手游这两匹黑</w:t>
      </w:r>
    </w:p>
    <w:p>
      <w:pPr>
        <w:spacing w:before="0" w:after="200" w:line="276"/>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从今年的游戏产业报告看中国游戏行业发展的十大趋势：</w:t>
      </w:r>
    </w:p>
    <w:p>
      <w:pPr>
        <w:spacing w:before="0" w:after="200" w:line="276"/>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发展趋势1：国内外市场都将面临更大挑战</w:t>
      </w:r>
    </w:p>
    <w:p>
      <w:pPr>
        <w:spacing w:before="0" w:after="200" w:line="276"/>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据2023年游戏产业报告统计，一部分用户的游戏时长有所减少，预计他们的付费额度也会相应下降。根据最新的用户调查问卷，游戏时长减少的用户占比已经超过了增加的用户。此外，未来预计在游戏上花费更少的用户占比也超过了花费更多的用户。</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232">
          <v:rect xmlns:o="urn:schemas-microsoft-com:office:office" xmlns:v="urn:schemas-microsoft-com:vml" id="rectole0000000000" style="width:415.150000pt;height:261.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数据来源：伽马数据</w:t>
      </w: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有趣的是，用户对IP化产品的首选因素并非仅仅是IP，而是明显高于其他游戏的品质，如试听表现力和剧情、角色等。这也说明了玩家对于游戏的品质有着更高的要求。</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532">
          <v:rect xmlns:o="urn:schemas-microsoft-com:office:office" xmlns:v="urn:schemas-microsoft-com:vml" id="rectole0000000001" style="width:415.150000pt;height:276.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数据来源：伽马数据</w:t>
      </w: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此外，对于开放世界RPG的要求也高于正在规划中的产品计划水平。例如，4K大地图明年或许已经无法满足用户需求，用户需要8K或16K大地图以及更真实的细节标准。这无疑为游戏开发者提出了更高的要求。</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6312">
          <v:rect xmlns:o="urn:schemas-microsoft-com:office:office" xmlns:v="urn:schemas-microsoft-com:vml" id="rectole0000000002" style="width:415.150000pt;height:315.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数据来源：伽马数据</w:t>
      </w: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然而，在出海方面，我们发现收入已经连续两年下降。调查显示，出海竞争激烈，国外增加了对本地游戏产业的扶持力度，对进口产品的监管也会越来越严格，包括准入条件、隐私保护、支付合规等。这意味着游戏出海将面临更大的挑战。</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483">
          <v:rect xmlns:o="urn:schemas-microsoft-com:office:office" xmlns:v="urn:schemas-microsoft-com:vml" id="rectole0000000003" style="width:415.150000pt;height:274.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数据来源：伽马数据</w:t>
      </w: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虽然游戏时长和付费额度的变化可能会对游戏产业产生一定的影响，但这也为游戏开发者提供了更多的机会和挑战。在竞争激烈的市场中，如何提供更高品质的游戏和满足玩家的需求将是游戏开发者需要面临的重要问题。</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发展趋势2：小游戏将持续增长</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小游戏市场的规模正在迅速扩张。2023年，其市场规模将达到惊人的200亿元，同比增长300%。自2022年以来，随着中重度小游戏的兴起，内购付费的占比迅速提升，为小游戏市场带来了新的增长动力。</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4380">
          <v:rect xmlns:o="urn:schemas-microsoft-com:office:office" xmlns:v="urn:schemas-microsoft-com:vml" id="rectole0000000004" style="width:415.150000pt;height:219.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数据来源：伽马数据</w:t>
      </w: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上市企业对小游戏市场的关注度也在不断提高。三七互娱、恺英网络、掌趣科技等知名企业纷纷布局小游戏市场，为市场带来了更多的增量。随着更多上市企业加入小游戏市场，短期内小游戏市场仍具备快速增长的潜力。</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4164">
          <v:rect xmlns:o="urn:schemas-microsoft-com:office:office" xmlns:v="urn:schemas-microsoft-com:vml" id="rectole0000000005" style="width:415.150000pt;height:208.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b/>
          <w:color w:val="auto"/>
          <w:spacing w:val="0"/>
          <w:position w:val="0"/>
          <w:sz w:val="22"/>
          <w:shd w:fill="auto" w:val="clear"/>
        </w:rPr>
        <w:t xml:space="preserve">未来，小游戏领域将呈现以下趋势：</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小游戏领域仍存机会。这是因为激活其潜力的因素仍然存在，包括质量提升、买量成本较低、跳转链路更完善、多潜在用户等。</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付费优化将成为创收重点。由于小游戏用户具备内购付费、广告变现接受能力双高的优势，但对付费点、付费项目的要求与App版本有差异，因此能更早完善产品调优的团队将具备优势。</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小游戏将更快进入高价值用户竞争阶段。随着竞品的增加，获客成本将迅速提高。因此，如果无法获取更多高价值用户，产品利润可能会更快地被成本抵消。</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小游戏市场正迎来前所未有的发展机遇。企业需要抓住这个机会，通过完善产品调优、优化付费模式等方式来提升竞争力，以获得更多的市场份额和利润。</w:t>
      </w: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发展趋势3：跨平台或成未来主流</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2023年，Steam Deck等互补性设备的销量激增，犹如开启了一扇新的大门，让玩家随时随地沉浸在游戏的世界里，极大地增强了用户的粘性。这些设备激发了用户尝试新游戏的热情，提升了购买游戏的意愿，就像一把解锁用户对游戏无尽渴望的钥匙。它们不受平台限制，既可以为主机和PC游戏吸引更多用户，发挥出更大的价值，也可以为移动游戏弥补硬件上的不足。</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4115">
          <v:rect xmlns:o="urn:schemas-microsoft-com:office:office" xmlns:v="urn:schemas-microsoft-com:vml" id="rectole0000000006" style="width:415.150000pt;height:205.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40"/>
        <w:ind w:right="0" w:left="0" w:firstLine="0"/>
        <w:jc w:val="left"/>
        <w:rPr>
          <w:rFonts w:ascii="SimSun" w:hAnsi="SimSun" w:cs="SimSun" w:eastAsia="SimSun"/>
          <w:b/>
          <w:color w:val="auto"/>
          <w:spacing w:val="0"/>
          <w:position w:val="0"/>
          <w:sz w:val="22"/>
          <w:shd w:fill="auto" w:val="clear"/>
        </w:rPr>
      </w:pPr>
      <w:r>
        <w:object w:dxaOrig="8303" w:dyaOrig="4115">
          <v:rect xmlns:o="urn:schemas-microsoft-com:office:office" xmlns:v="urn:schemas-microsoft-com:vml" id="rectole0000000007" style="width:415.150000pt;height:205.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200" w:line="240"/>
        <w:ind w:right="0" w:left="0" w:firstLine="0"/>
        <w:jc w:val="left"/>
        <w:rPr>
          <w:rFonts w:ascii="SimSun" w:hAnsi="SimSun" w:cs="SimSun" w:eastAsia="SimSun"/>
          <w:b/>
          <w:color w:val="auto"/>
          <w:spacing w:val="0"/>
          <w:position w:val="0"/>
          <w:sz w:val="22"/>
          <w:shd w:fill="auto" w:val="clear"/>
        </w:rPr>
      </w:pPr>
      <w:r>
        <w:object w:dxaOrig="8303" w:dyaOrig="4500">
          <v:rect xmlns:o="urn:schemas-microsoft-com:office:office" xmlns:v="urn:schemas-microsoft-com:vml" id="rectole0000000008" style="width:415.150000pt;height:225.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200" w:line="240"/>
        <w:ind w:right="0" w:left="0" w:firstLine="0"/>
        <w:jc w:val="left"/>
        <w:rPr>
          <w:rFonts w:ascii="SimSun" w:hAnsi="SimSun" w:cs="SimSun" w:eastAsia="SimSun"/>
          <w:b/>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数据来源：伽马数据</w:t>
      </w: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云游戏同样如此，借助网络的力量，让用户在任何时间、任何地点都能畅玩游戏。如果政策在引导上给予支持，将会进一步加速跨平台游戏的发展速度。从伽马数据对各平台头部产品的跨平台状况进行统计的结果来看，主机、PC平台的跨平台比例较高，布局相对较深。移动端则有25.9%的用户通过手游模拟器的形式，满足跨平台需求。</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跨平台游戏的发展是大势所趋，它为用户提供了更丰富、更便捷的游戏体验。跨平台游戏将会在未来大放异彩，成为游戏行业的一股强大力量。</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发展趋势4：游戏与短视频融合发展</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游戏与其他产业链的融合为游戏市场带来了全新的增长机遇，这主要归功于游戏的强内容性和强互动性等特点。这些特点在其他用户的娱乐体验中同样有着广泛的需求。其中，短视频和电影的融合值得重点关注，因为目前大部分用户都集中在这两种娱乐方式上。而短剧可能是最早实现变现的融合产品，它可以将短剧的叙事特点融入到游戏互动中，为用户带来比普通游戏更沉浸的代入感，以及比短剧更强的互动性。这种融合方式将会吸引那些对这两种娱乐方式都有兴趣的交叉喜好的用户。</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6084">
          <v:rect xmlns:o="urn:schemas-microsoft-com:office:office" xmlns:v="urn:schemas-microsoft-com:vml" id="rectole0000000009" style="width:415.150000pt;height:304.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以国产游戏《完蛋，我被美女包围了》为例，它在上线后一周内登顶Steam国区销量榜和全球销量榜前五。从用户反馈来看，这款游戏带来的快乐是短暂而频繁的，这与短视频培养下的用户的特征相符合。从快乐的性价比来看，很多用户认为这款游戏比抽卡游戏更值得购买。</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游戏与其他产业链的融合将会为游戏市场带来全新的增长机遇。这种融合不仅可以满足用户对于多元化娱乐体验的需求，还可以为游戏开发商带来更多的商业机会。因此，我们应该继续关注并推动这种融合的发展，为游戏市场注入新的活力和机遇。</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发展趋势5：全球性IP价值提升</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全球性的IP就像一座蕴藏着无尽宝藏的宝山，等待着人们去挖掘。</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对于研发团队来说，全球性的IP带来了多方面的优势。它们不仅帮助团队获得更多的客户，还能提高用户的留存率。在变现的过程中，全球性的IP也发挥着不可替代的作用。更重要的是，为了进一步夯实IP的价值，增强其变现能力，全球性IP的合作意愿也在不断提升。</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9924">
          <v:rect xmlns:o="urn:schemas-microsoft-com:office:office" xmlns:v="urn:schemas-microsoft-com:vml" id="rectole0000000010" style="width:415.150000pt;height:496.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近年来，“合金弹头”、“暗黑破坏神”、“阿凡达”等知名全球性IP纷纷授权游戏改编，为企业带来了分享全球性IP好处的更大机会。当选择了更合适的IP授权方后，企业有望获得更多的利好。合适的IP合作方有望给予团队更大的发挥空间。合适的IP授权方还能为团队带来额外的价值加成。</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10056">
          <v:rect xmlns:o="urn:schemas-microsoft-com:office:office" xmlns:v="urn:schemas-microsoft-com:vml" id="rectole0000000011" style="width:415.150000pt;height:502.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以SNK为例，其旗下的IP虽然诞生较早，但其主要受众已经形成了强大的付费能力。在此基础上，SNK积极拓展IP的生命力，通过持续迭代产品、加强在年轻群体中的渗透、扩大更多地区的用户认知以及布局动画等多种传播形式来扩大其影响力。对于合作团队来说，这意味着他们可以在无需支付更多成本的情况下，享受到更易吸引用户游玩、更易创造内容营销素材等利好。</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因此，沟通IP发展规划也是合作团队选择授权方的重要考量之一。在选择合适的IP授权方时，合作团队需要考虑多个因素，包括IP的影响力、受众范围、发展潜力等等。只有选择了合适的IP授权方，才能为团队带来更多的利益和机会。</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发展趋势6：AIGC技术进一步变现</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AIGC的潜力如同初升的朝阳，虽尚在萌芽阶段，但其光芒已经预示着新的技术革命的到来。多家企业已经开始布局自研大模型，如《逆水寒》手游融入智能NPC等，这足以看出市场和用户对AIGC带来的变革的关注。从长远来看，AIGC能够实现降本增效、开拓新玩法和新品类等利好，而在实现这些利好的过程中，模型的稳定性将成为竞争的重点。</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423">
          <v:rect xmlns:o="urn:schemas-microsoft-com:office:office" xmlns:v="urn:schemas-microsoft-com:vml" id="rectole0000000012" style="width:415.150000pt;height:271.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大模型的研发能力成为了企业们需要跨过的一道坎。超过60%的受访企业认为大模型的研发能力是当前的主要挑战。因此，在中期和短期内，能够较早提升大模型能力的企业和能够较早接入稳定性较强的大模型的企业，更有可能在研发和营销等领域分享AIGC的利好。</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发展趋势7：延续精细化运营</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在当今的行业中，对用户进行分类并实施精细化的运营策略已经成为了不可逆转的趋势。这一趋势的形成，源于对当前市场状况的深刻洞察。随着获客难度的增加和长线运营的复杂性，这种分类精细化运营的方式被寄予厚望，期待成为解决行业难题的一剂良方。</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2327">
          <v:rect xmlns:o="urn:schemas-microsoft-com:office:office" xmlns:v="urn:schemas-microsoft-com:vml" id="rectole0000000013" style="width:415.150000pt;height:116.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首先，同一类用户群体往往具有相似的需求和行为特征。因此，解决一小部分用户遇到的问题，往往能够无形中惠及大部分用户，进而提升他们的留存概率。例如，对于喜欢社交互动的用户，我们可以为他们量身打造更多的社交功能和活动，提供互动交流的平台；而对于喜欢独享游戏的用户，我们可以为他们提供更加沉浸式的游戏体验，让他们在游戏中尽享宁静与乐趣。</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184">
          <v:rect xmlns:o="urn:schemas-microsoft-com:office:office" xmlns:v="urn:schemas-microsoft-com:vml" id="rectole0000000014" style="width:415.150000pt;height:259.2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其次，分类精细化运营还能有效激发用户的付费潜力。通过深入分析用户的付费倾向、追踪他们在游戏中的卡点等信号，我们可以制定个性化的礼包机制，并优化推送时机，从而助推他们的付费意愿转化为实际收益。例如，对于喜欢购买道具的用户，我们可以为他们提供更加实用和有价值的道具，而对于喜欢购买皮肤的用户，我们可以为他们提供更加精美和个性化的皮肤。</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分类用户并精细化运营已经成为行业的大势所趋。这一趋势不仅有助于提升用户的留存概率和付费意愿，还能够为游戏开发者带来更多的商业机会和收益。同时，它也是我们不断追求创新、提升用户体验的重要手段。在这个过程中，我们既要关注用户的共性需求，也要关注他们的个性需求，力求在满足用户期待的同时，也能为他们带来别具一格的游戏体验。</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发展趋势8：数据价值将向全场景拓展</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游戏数据的价值与潜力，远非局限于运营、发行等单一环节。这种趋势的推动力量源于日益激烈的竞争，企业需要挖掘更多的环节来保持增长和竞争力。从个体企业的角度来看，挖掘数据价值是为了在竞争中保持领先地位，但从整个产业的角度来看，这将推动数据价值向全场景拓展，并逐渐成为整个产业关注的焦点。</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就像是一场寻宝游戏，每个企业都在努力寻找隐藏在数据宝藏中的秘密。而随着竞争的加剧，这个宝藏的发现将不再是个别企业的独享，而是整个产业的共同追求。在这个过程中，数据的价值将不断被发掘和利用，为游戏的全场景运营提供有力的支持。</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5364">
          <v:rect xmlns:o="urn:schemas-microsoft-com:office:office" xmlns:v="urn:schemas-microsoft-com:vml" id="rectole0000000015" style="width:415.150000pt;height:268.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对于游戏产业来说，数据的价值就如同金矿般宝贵。每个游戏都有其独特的运营之道，而数据则是这些运营策略的指南针。通过数据分析，企业可以更加精准地了解玩家的需求和喜好，从而优化游戏体验，提升玩家满意度。</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在这个数据驱动的时代，游戏产业的数据价值不仅局限于运营和发行环节。随着企业对于数据价值的不断挖掘和利用，数据的价值将逐渐渗透到游戏的各个环节，为游戏的全场景运营提供有力的支持。</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越来越多的游戏开始注重精细化运营，并验证数值的价值。这就像是一场寻宝游戏，每个企业都在努力寻找隐藏在数据宝藏中的秘密。而随着竞争的加剧，这个宝藏的发现将不再是个别企业的独享，而是整个产业的共同追求。在这个过程中，数据的价值将不断被发掘和利用，为游戏的全场景运营提供有力的支持。</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发展趋势9：内容营销将成为必选项</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内容营销的演变正在悄然进行，从可选项逐渐转变为必选项。全球范围内的用户调研显示，游戏外平台作为内容营销的主阵地，正被越来越多的用户视为游戏本体的组成部分，而不仅仅是附加项。这表明内容营销的重要性正在不断加剧。</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随着更多游戏布局内容营销，竞争重点也将发生变化，主要体现在两个方面：</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多元内容更具优势：内容营销主要通过唤起用户情绪而生效，但用户情绪的诱因不定且变换较快。因此，能够以多元内容、内容组合触达用户的游戏将更具优势。</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量化能力成为竞争重点：量化能力更强的企业将更准确地判断营销阶段，进而适时地变更合作达人、联动IP等具体营销方式，放大营销效果。</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腾讯广告可能成为内容营销的重要合作平台，因为多元内容和量化能力是内容营销下一阶段的竞争重点。腾讯广告兼具多元内容与量化能力的优势。</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8447">
          <v:rect xmlns:o="urn:schemas-microsoft-com:office:office" xmlns:v="urn:schemas-microsoft-com:vml" id="rectole0000000016" style="width:415.150000pt;height:422.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在多元内容方面，腾讯广告将内容营销资源集合成“游戏引力聚能环”，涉及小说、图文、音乐、视频、影视、线上线下定制活动等全形态的内容传播资源，有助于个性化地提高游戏产品的影响力、转化力和心智力。</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在量化能力方面，腾讯广告可提供品牌规模、品牌效益、品牌信任三个维度的评估，涉及企业较关注的意图人群规模、下载意愿等项目，模型本身具备较高价值。</w:t>
      </w:r>
    </w:p>
    <w:p>
      <w:pPr>
        <w:spacing w:before="0" w:after="200" w:line="240"/>
        <w:ind w:right="0" w:left="0" w:firstLine="0"/>
        <w:jc w:val="left"/>
        <w:rPr>
          <w:rFonts w:ascii="SimSun" w:hAnsi="SimSun" w:cs="SimSun" w:eastAsia="SimSun"/>
          <w:b/>
          <w:color w:val="auto"/>
          <w:spacing w:val="0"/>
          <w:position w:val="0"/>
          <w:sz w:val="22"/>
          <w:shd w:fill="auto" w:val="clear"/>
        </w:rPr>
      </w:pPr>
      <w:r>
        <w:rPr>
          <w:rFonts w:ascii="SimSun" w:hAnsi="SimSun" w:cs="SimSun" w:eastAsia="SimSun"/>
          <w:b/>
          <w:color w:val="auto"/>
          <w:spacing w:val="0"/>
          <w:position w:val="0"/>
          <w:sz w:val="22"/>
          <w:shd w:fill="auto" w:val="clear"/>
        </w:rPr>
        <w:t xml:space="preserve">发展趋势10：全生命周期获取用户</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全生命周期仍然是产业的重要趋势，在当前竞争日益激烈的环境下，延长产品、用户、营销的生命周期，并在全生命周期内持续提升用户价值变得愈发重要。未来，全生命周期营销可能呈现以下两项趋势：</w:t>
      </w:r>
    </w:p>
    <w:p>
      <w:pPr>
        <w:spacing w:before="0" w:after="200" w:line="240"/>
        <w:ind w:right="0" w:left="0" w:firstLine="0"/>
        <w:jc w:val="left"/>
        <w:rPr>
          <w:rFonts w:ascii="SimSun" w:hAnsi="SimSun" w:cs="SimSun" w:eastAsia="SimSun"/>
          <w:color w:val="auto"/>
          <w:spacing w:val="0"/>
          <w:position w:val="0"/>
          <w:sz w:val="22"/>
          <w:shd w:fill="auto" w:val="clear"/>
        </w:rPr>
      </w:pPr>
      <w:r>
        <w:object w:dxaOrig="8303" w:dyaOrig="8460">
          <v:rect xmlns:o="urn:schemas-microsoft-com:office:office" xmlns:v="urn:schemas-microsoft-com:vml" id="rectole0000000017" style="width:415.150000pt;height:423.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一方面，企业在营销时将更加注重数据积累，例如哪些用户曾被游戏相关信息触达但尚未转换。这种数据可以帮助企业在后续的营销环节中更高效地触达目标用户，提升转化效果。</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另一方面，智能工具将变得更加重要。这些工具可以在确保高效的基础上，更细致地拆分和执行企业的营销策略，从而实现预期的效果。</w:t>
      </w:r>
    </w:p>
    <w:p>
      <w:pPr>
        <w:spacing w:before="0" w:after="200" w:line="240"/>
        <w:ind w:right="0" w:left="0" w:firstLine="0"/>
        <w:jc w:val="left"/>
        <w:rPr>
          <w:rFonts w:ascii="SimSun" w:hAnsi="SimSun" w:cs="SimSun" w:eastAsia="SimSun"/>
          <w:color w:val="auto"/>
          <w:spacing w:val="0"/>
          <w:position w:val="0"/>
          <w:sz w:val="22"/>
          <w:shd w:fill="auto" w:val="clear"/>
        </w:rPr>
      </w:pPr>
      <w:r>
        <w:rPr>
          <w:rFonts w:ascii="SimSun" w:hAnsi="SimSun" w:cs="SimSun" w:eastAsia="SimSun"/>
          <w:color w:val="auto"/>
          <w:spacing w:val="0"/>
          <w:position w:val="0"/>
          <w:sz w:val="22"/>
          <w:shd w:fill="auto" w:val="clear"/>
        </w:rPr>
        <w:t xml:space="preserve">未来企业需要更加注重数据积累和智能工具的应用，以在全生命周期内持续提升用户价值，实现更好的营销效果。</w:t>
      </w: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b/>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40"/>
        <w:ind w:right="0" w:left="0" w:firstLine="0"/>
        <w:jc w:val="left"/>
        <w:rPr>
          <w:rFonts w:ascii="SimSun" w:hAnsi="SimSun" w:cs="SimSun" w:eastAsia="SimSun"/>
          <w:color w:val="auto"/>
          <w:spacing w:val="0"/>
          <w:position w:val="0"/>
          <w:sz w:val="22"/>
          <w:shd w:fill="auto" w:val="clear"/>
        </w:rPr>
      </w:pPr>
    </w:p>
    <w:p>
      <w:pPr>
        <w:spacing w:before="0" w:after="200" w:line="276"/>
        <w:ind w:right="0" w:left="0" w:firstLine="0"/>
        <w:jc w:val="left"/>
        <w:rPr>
          <w:rFonts w:ascii="SimSun" w:hAnsi="SimSun" w:cs="SimSun" w:eastAsia="SimSun"/>
          <w:color w:val="auto"/>
          <w:spacing w:val="0"/>
          <w:position w:val="0"/>
          <w:sz w:val="22"/>
          <w:shd w:fill="auto" w:val="clear"/>
        </w:rPr>
      </w:pPr>
    </w:p>
    <w:p>
      <w:pPr>
        <w:spacing w:before="0" w:after="200" w:line="276"/>
        <w:ind w:right="0" w:left="0" w:firstLine="0"/>
        <w:jc w:val="left"/>
        <w:rPr>
          <w:rFonts w:ascii="SimSun" w:hAnsi="SimSun" w:cs="SimSun" w:eastAsia="SimSun"/>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numbering.xml" Id="docRId36" Type="http://schemas.openxmlformats.org/officeDocument/2006/relationships/numbering"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styles.xml" Id="docRId37" Type="http://schemas.openxmlformats.org/officeDocument/2006/relationships/styles"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